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8B4C70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F419F8" w:rsidRDefault="00F419F8" w:rsidP="00F419F8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72679D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Elektroinštalačný materiál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B57A1C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31681410-0   Elektromateriály</w:t>
      </w:r>
    </w:p>
    <w:p w:rsidR="0072679D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31681400-7   Elektrické súčiastky</w:t>
      </w:r>
    </w:p>
    <w:p w:rsidR="0072679D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39298600-3   Žiarovky (svietidlá)</w:t>
      </w:r>
    </w:p>
    <w:p w:rsidR="0072679D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31519100-8   Žiarivky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4851B9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A36CB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513EEE">
        <w:rPr>
          <w:rFonts w:ascii="Times New Roman" w:hAnsi="Times New Roman"/>
          <w:bCs/>
          <w:sz w:val="24"/>
          <w:szCs w:val="24"/>
          <w:lang w:eastAsia="sk-SK"/>
        </w:rPr>
        <w:t>9 290</w:t>
      </w:r>
      <w:r w:rsidR="000965D9">
        <w:rPr>
          <w:rFonts w:ascii="Times New Roman" w:hAnsi="Times New Roman"/>
          <w:bCs/>
          <w:sz w:val="24"/>
          <w:szCs w:val="24"/>
          <w:lang w:eastAsia="sk-SK"/>
        </w:rPr>
        <w:t>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5A5102">
        <w:rPr>
          <w:rFonts w:ascii="Times New Roman" w:hAnsi="Times New Roman"/>
          <w:bCs/>
          <w:sz w:val="24"/>
          <w:szCs w:val="24"/>
          <w:lang w:eastAsia="sk-SK"/>
        </w:rPr>
        <w:t>/ na obdobie 36 mesiacov</w:t>
      </w:r>
      <w:r w:rsidR="000A36CB">
        <w:rPr>
          <w:rFonts w:ascii="Times New Roman" w:hAnsi="Times New Roman"/>
          <w:bCs/>
          <w:sz w:val="24"/>
          <w:szCs w:val="24"/>
          <w:lang w:eastAsia="sk-SK"/>
        </w:rPr>
        <w:t xml:space="preserve"> / celý predmet zákazky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 nákup a dodávka elektroinštalačného materiálu (ďalej aj ako „tovar“). Obstarávaný tovar, ktorý bude dodaný, musí byť nový, nepoužitý, v originálnom vyhotovení  a musí spĺňať podmienky a požiadavky obstarávateľa uvedené v Prílohe č. 1.</w:t>
      </w: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je predmetom zákazky, je z dôvodu prehľadnosti usporiadaný do 5 skupín a to: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Vodiče a káble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>Páska viazacia sťahovacia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Poistky, ističe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  <w:t>Žiarovky a žiarivky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  <w:t>Ostatné</w:t>
      </w:r>
    </w:p>
    <w:p w:rsidR="000512F6" w:rsidRDefault="000512F6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Opis 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jeho technická špecifikácia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 podrobne uvedené v </w:t>
      </w:r>
      <w:r w:rsidR="005C66BD" w:rsidRPr="005C66BD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1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Výzvy, ktorá je zárov</w:t>
      </w:r>
      <w:r w:rsidR="000512F6">
        <w:rPr>
          <w:rFonts w:ascii="Times New Roman" w:hAnsi="Times New Roman"/>
          <w:bCs/>
          <w:color w:val="000000"/>
          <w:sz w:val="24"/>
          <w:szCs w:val="24"/>
          <w:lang w:eastAsia="sk-SK"/>
        </w:rPr>
        <w:t>eň Prílohou č. 1 Rámcovej dohody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B90966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ákazka </w:t>
      </w:r>
      <w:r w:rsidR="00E811BC"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nie je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rozdelená na časti.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predkladá ponuku </w:t>
      </w:r>
      <w:r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na celý predmet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E64A7B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tomto postupe zadávania zákazky sa obhliadka neuplatňuje. </w:t>
      </w: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64A7B" w:rsidRDefault="00E64A7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800385">
        <w:rPr>
          <w:rFonts w:ascii="Times New Roman" w:hAnsi="Times New Roman"/>
          <w:sz w:val="24"/>
          <w:szCs w:val="24"/>
          <w:lang w:eastAsia="sk-SK"/>
        </w:rPr>
        <w:t>Rámcovú dohodu</w:t>
      </w:r>
      <w:r w:rsidR="00F33A0C" w:rsidRPr="00B902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B90280">
        <w:rPr>
          <w:rFonts w:ascii="Times New Roman" w:hAnsi="Times New Roman"/>
          <w:sz w:val="24"/>
          <w:szCs w:val="24"/>
          <w:lang w:eastAsia="sk-SK"/>
        </w:rPr>
        <w:t>podľa zákona č. 343/2015 Z. z. o verejnom obstarávaní a o zmene a doplnení niektorých zákonov v znení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neskoršíc</w:t>
      </w:r>
      <w:r w:rsidR="007E5B2C">
        <w:rPr>
          <w:rFonts w:ascii="Times New Roman" w:hAnsi="Times New Roman"/>
          <w:sz w:val="24"/>
          <w:szCs w:val="24"/>
          <w:lang w:eastAsia="sk-SK"/>
        </w:rPr>
        <w:t>h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predpisov a podľa § 409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800385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Rámcová dohoda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sz w:val="24"/>
          <w:szCs w:val="24"/>
          <w:lang w:eastAsia="sk-SK"/>
        </w:rPr>
        <w:t>bude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s jedným úspešným uchádzačom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uzavretá </w:t>
      </w:r>
      <w:r w:rsidR="007A26AF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na obdobie </w:t>
      </w:r>
      <w:r w:rsidR="00B90280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5C66BD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 mesiacov.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5C66BD" w:rsidRPr="005C66BD">
        <w:rPr>
          <w:rFonts w:ascii="Times New Roman" w:hAnsi="Times New Roman"/>
          <w:b/>
          <w:i/>
          <w:sz w:val="24"/>
          <w:szCs w:val="24"/>
          <w:lang w:eastAsia="sk-SK"/>
        </w:rPr>
        <w:t>Prílohou č. 3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8E2734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Pr="008D2D00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 a 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B187B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tejto Výzvy. Uchádzač  vyplní v zá</w:t>
      </w:r>
      <w:r w:rsidR="005407A5" w:rsidRPr="001B187B">
        <w:rPr>
          <w:rFonts w:ascii="Times New Roman" w:hAnsi="Times New Roman"/>
          <w:bCs/>
          <w:sz w:val="24"/>
          <w:szCs w:val="24"/>
        </w:rPr>
        <w:t>vere dokumentu požadované údaje</w:t>
      </w:r>
      <w:r w:rsidR="00AE27E8">
        <w:rPr>
          <w:rFonts w:ascii="Times New Roman" w:hAnsi="Times New Roman"/>
          <w:bCs/>
          <w:sz w:val="24"/>
          <w:szCs w:val="24"/>
        </w:rPr>
        <w:t xml:space="preserve"> (miesto, dátum, meno a priezvisko osoby za uchádzača, ktorá dokument podpisom potvrdzuje) </w:t>
      </w:r>
      <w:r w:rsidRPr="001B187B">
        <w:rPr>
          <w:rFonts w:ascii="Times New Roman" w:hAnsi="Times New Roman"/>
          <w:bCs/>
          <w:sz w:val="24"/>
          <w:szCs w:val="24"/>
        </w:rPr>
        <w:t xml:space="preserve">a tento podpísaný dokument predkladá obstarávateľovi vyhotovený </w:t>
      </w:r>
      <w:r w:rsidRPr="001B187B">
        <w:rPr>
          <w:rFonts w:ascii="Times New Roman" w:hAnsi="Times New Roman"/>
          <w:bCs/>
          <w:sz w:val="24"/>
          <w:szCs w:val="24"/>
        </w:rPr>
        <w:lastRenderedPageBreak/>
        <w:t>v elektronickej forme (ako scan vo formáte .pdf). Tento dokument je zároveň Prílohou č. 1</w:t>
      </w:r>
      <w:r w:rsidR="00AE27E8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D2D00" w:rsidRPr="008D2D00" w:rsidRDefault="002A5A6C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9C5277">
        <w:rPr>
          <w:rFonts w:ascii="Times New Roman" w:hAnsi="Times New Roman"/>
          <w:b/>
          <w:bCs/>
          <w:sz w:val="24"/>
          <w:szCs w:val="24"/>
        </w:rPr>
        <w:t xml:space="preserve"> (Cenník)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</w:t>
      </w:r>
      <w:r w:rsidR="008A556B">
        <w:rPr>
          <w:rFonts w:ascii="Times New Roman" w:hAnsi="Times New Roman"/>
          <w:bCs/>
          <w:sz w:val="24"/>
          <w:szCs w:val="24"/>
        </w:rPr>
        <w:t> </w:t>
      </w:r>
      <w:r w:rsidR="001E5446">
        <w:rPr>
          <w:rFonts w:ascii="Times New Roman" w:hAnsi="Times New Roman"/>
          <w:bCs/>
          <w:sz w:val="24"/>
          <w:szCs w:val="24"/>
        </w:rPr>
        <w:t>dokumente</w:t>
      </w:r>
      <w:r w:rsidR="008A556B">
        <w:rPr>
          <w:rFonts w:ascii="Times New Roman" w:hAnsi="Times New Roman"/>
          <w:bCs/>
          <w:sz w:val="24"/>
          <w:szCs w:val="24"/>
        </w:rPr>
        <w:t xml:space="preserve"> všetky </w:t>
      </w:r>
      <w:r w:rsidR="001E5446">
        <w:rPr>
          <w:rFonts w:ascii="Times New Roman" w:hAnsi="Times New Roman"/>
          <w:bCs/>
          <w:sz w:val="24"/>
          <w:szCs w:val="24"/>
        </w:rPr>
        <w:t xml:space="preserve">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>vyhotovený v elektronickej forme (ako scan vo formáte .pdf</w:t>
      </w:r>
      <w:r w:rsidR="00653301">
        <w:rPr>
          <w:rFonts w:ascii="Times New Roman" w:hAnsi="Times New Roman"/>
          <w:bCs/>
          <w:sz w:val="24"/>
          <w:szCs w:val="24"/>
        </w:rPr>
        <w:t xml:space="preserve"> a tiež v editovateľnom formáte</w:t>
      </w:r>
      <w:r w:rsidR="00513EEE">
        <w:rPr>
          <w:rFonts w:ascii="Times New Roman" w:hAnsi="Times New Roman"/>
          <w:bCs/>
          <w:sz w:val="24"/>
          <w:szCs w:val="24"/>
        </w:rPr>
        <w:t xml:space="preserve"> Excel</w:t>
      </w:r>
      <w:r w:rsidR="002E069D">
        <w:rPr>
          <w:rFonts w:ascii="Times New Roman" w:hAnsi="Times New Roman"/>
          <w:bCs/>
          <w:sz w:val="24"/>
          <w:szCs w:val="24"/>
        </w:rPr>
        <w:t xml:space="preserve">). 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</w:t>
      </w:r>
      <w:r w:rsidR="008A556B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é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>Pr</w:t>
      </w:r>
      <w:r w:rsidR="009C5277">
        <w:rPr>
          <w:rFonts w:ascii="Times New Roman" w:hAnsi="Times New Roman"/>
          <w:b/>
          <w:color w:val="000000"/>
          <w:sz w:val="24"/>
          <w:szCs w:val="24"/>
          <w:lang w:eastAsia="sk-SK"/>
        </w:rPr>
        <w:t>ílohe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2</w:t>
      </w:r>
      <w:r w:rsidR="008A556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(Tabuľka č. 2)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sú konečné a záväzné. Tieto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ponúk viac meniť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(smerom nahor, ani nadol). Ceny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sa uvádza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jú</w:t>
      </w:r>
      <w:r w:rsidR="0076560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a centy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sa </w:t>
      </w:r>
      <w:r w:rsidR="002A364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matematicky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zaokrúhľujú</w:t>
      </w:r>
      <w:r w:rsidR="008A556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štyri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desatinné miesta.</w:t>
      </w:r>
    </w:p>
    <w:p w:rsidR="00CB6231" w:rsidRDefault="002E069D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76560B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76560B">
        <w:rPr>
          <w:rFonts w:ascii="Times New Roman" w:hAnsi="Times New Roman"/>
          <w:sz w:val="24"/>
          <w:szCs w:val="24"/>
        </w:rPr>
        <w:t>ť v Prílohe č. 2</w:t>
      </w:r>
      <w:r w:rsidR="002A5A6C" w:rsidRPr="0076560B">
        <w:rPr>
          <w:rFonts w:ascii="Times New Roman" w:hAnsi="Times New Roman"/>
          <w:sz w:val="24"/>
          <w:szCs w:val="24"/>
        </w:rPr>
        <w:t xml:space="preserve"> </w:t>
      </w:r>
      <w:r w:rsidR="001E5446" w:rsidRPr="0076560B">
        <w:rPr>
          <w:rFonts w:ascii="Times New Roman" w:hAnsi="Times New Roman"/>
          <w:sz w:val="24"/>
          <w:szCs w:val="24"/>
        </w:rPr>
        <w:t>a</w:t>
      </w:r>
      <w:r w:rsidR="00C655B3" w:rsidRPr="0076560B">
        <w:rPr>
          <w:rFonts w:ascii="Times New Roman" w:hAnsi="Times New Roman"/>
          <w:sz w:val="24"/>
          <w:szCs w:val="24"/>
        </w:rPr>
        <w:t> </w:t>
      </w:r>
      <w:r w:rsidR="001E5446" w:rsidRPr="0076560B">
        <w:rPr>
          <w:rFonts w:ascii="Times New Roman" w:hAnsi="Times New Roman"/>
          <w:sz w:val="24"/>
          <w:szCs w:val="24"/>
        </w:rPr>
        <w:t>v</w:t>
      </w:r>
      <w:r w:rsidR="00C655B3" w:rsidRPr="0076560B">
        <w:rPr>
          <w:rFonts w:ascii="Times New Roman" w:hAnsi="Times New Roman"/>
          <w:sz w:val="24"/>
          <w:szCs w:val="24"/>
        </w:rPr>
        <w:t xml:space="preserve"> texte</w:t>
      </w:r>
      <w:r w:rsidR="0076560B">
        <w:rPr>
          <w:rFonts w:ascii="Times New Roman" w:hAnsi="Times New Roman"/>
          <w:sz w:val="24"/>
          <w:szCs w:val="24"/>
        </w:rPr>
        <w:t> návrhu Rámcovej dohody</w:t>
      </w:r>
      <w:r w:rsidR="001E5446" w:rsidRPr="0076560B">
        <w:rPr>
          <w:rFonts w:ascii="Times New Roman" w:hAnsi="Times New Roman"/>
          <w:sz w:val="24"/>
          <w:szCs w:val="24"/>
        </w:rPr>
        <w:t xml:space="preserve"> (t.j. na vyznačených miestach v dokumentoch).</w:t>
      </w:r>
      <w:r w:rsidR="00CB6231"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0620" w:rsidRPr="002A5A6C" w:rsidRDefault="00B90620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Ďalšie informácie sú uvedené v závere Prílohy č. 2.</w:t>
      </w:r>
    </w:p>
    <w:p w:rsidR="00CB6231" w:rsidRDefault="002A5A6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 w:rsidR="00E65368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3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požadované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resp. postupuje pri vypĺňaní údajov podľa predtlače.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nesmie meniť/dopĺňať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 (Článok 1. až Článok 10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dovaných údajov v Rámcovej dohode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.pdf.</w:t>
      </w:r>
    </w:p>
    <w:p w:rsidR="00CB6231" w:rsidRPr="00DA3D81" w:rsidRDefault="007958CA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scan splnomocnenia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.pdf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7958CA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Prílohy č. 1 a č. 2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220859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zákona č. 343/2015 Z. z. o verejnom obstarávaní a o zmene a doplnení niektorých zákonov v znení neskorších predpisov uchádzač 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220859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2208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de s údajmi uvedenými v obchodnom, resp. živnostenskom registri. Uchádzač nakoniec uvedie v dokumente miesto a dátum vyhot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>ovenia dokumentu, v dokumente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220859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venia dokumentu, v dokumente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uvedie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0881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54B3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154B3">
        <w:rPr>
          <w:rFonts w:ascii="Times New Roman" w:hAnsi="Times New Roman"/>
          <w:bCs/>
          <w:sz w:val="24"/>
          <w:szCs w:val="24"/>
        </w:rPr>
        <w:t>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FF0881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-Uchádzač nesmie meniť text, formát, vizuál Príloh, ktoré sú súčasťou Výzvy na predkladanie ponúk. Uchádzač vypĺňa iba obstarávateľom požadované údaje. V prípade, že uchádzač svojvoľne zmení predtlačený text, formát, vizuál Prílohy (mimo vyznačených miest), obstarávateľ si vyhradzuje právo nezaradiť ponuku takéhoto uchádzača do vyhodnotenia na základe hodnotiaceho kritéria a vylúčiť uchádzača z postupu zadávania zákazky.</w:t>
      </w:r>
    </w:p>
    <w:p w:rsidR="00FF0881" w:rsidRPr="00220859" w:rsidRDefault="00FF0881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8E2734" w:rsidRPr="000D5ED6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E2734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Kritériom na vyhodnotenie ponúk v tomto postupe zadávania zákazky je 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 v EUR bez DPH za predpokladané odberové množstvo tovarov za zmluvné obdobie 36 mesiacov</w:t>
      </w: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066D7" w:rsidRDefault="008066D7" w:rsidP="008066D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  <w:bookmarkStart w:id="0" w:name="_GoBack"/>
      <w:bookmarkEnd w:id="0"/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FD5D4A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15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513EEE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07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FD5D4A" w:rsidRPr="00FD5D4A">
        <w:rPr>
          <w:rFonts w:ascii="Times New Roman" w:hAnsi="Times New Roman"/>
          <w:bCs/>
          <w:sz w:val="24"/>
          <w:szCs w:val="24"/>
          <w:lang w:eastAsia="sk-SK"/>
        </w:rPr>
        <w:t>09</w:t>
      </w:r>
      <w:r w:rsidR="00513EEE" w:rsidRPr="00FD5D4A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="00684384" w:rsidRPr="00FD5D4A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FD5D4A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FD5D4A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C66FB4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FD5D4A" w:rsidRPr="00FD5D4A">
        <w:rPr>
          <w:rFonts w:ascii="Times New Roman" w:hAnsi="Times New Roman"/>
          <w:bCs/>
          <w:sz w:val="24"/>
          <w:szCs w:val="24"/>
          <w:lang w:eastAsia="sk-SK"/>
        </w:rPr>
        <w:t>12</w:t>
      </w:r>
      <w:r w:rsidR="00513EEE" w:rsidRPr="00FD5D4A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="00684384" w:rsidRPr="00FD5D4A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FD5D4A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</w:t>
      </w:r>
      <w:r>
        <w:rPr>
          <w:rFonts w:ascii="Times New Roman" w:hAnsi="Times New Roman"/>
          <w:bCs/>
          <w:sz w:val="24"/>
          <w:szCs w:val="24"/>
          <w:lang w:eastAsia="sk-SK"/>
        </w:rPr>
        <w:t>ie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 či uchádzač predložil všetky doklady požadované obstarávateľom vo výzve</w:t>
      </w:r>
      <w:r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zákazky. V prípade, že uchádzač splnil všetky stanovené podmienky/požiadavky vo výzve a predložil všetky požadované doklady, bude jeho ponuka vyhodnocovaná na základe hodnotiaceho kritéria, ktoré je uvedené v bode 11 tejto Výzvy. Stanovené bude umiestnenie uchádzačov v poradí a určený bude jeden úspešný uchádzač. Ak počas vyhodnotenia ponúk bude relevantné, obstarávateľ požiada uchádzača o vysvetlenie ponuky a určí lehotu na doručenie vysvetlenia.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 predložené obstarávateľovi</w:t>
      </w:r>
      <w:r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51F86" w:rsidRPr="006C3F53" w:rsidRDefault="00751F86" w:rsidP="00751F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Pr="006C3F53">
        <w:rPr>
          <w:rFonts w:ascii="Times New Roman" w:hAnsi="Times New Roman"/>
          <w:sz w:val="24"/>
          <w:szCs w:val="24"/>
        </w:rPr>
        <w:t xml:space="preserve">, bude priradené umiestnenie v poradí vzostupným spôsobom  a to podľa výšky </w:t>
      </w:r>
      <w:r>
        <w:rPr>
          <w:rFonts w:ascii="Times New Roman" w:hAnsi="Times New Roman"/>
          <w:sz w:val="24"/>
          <w:szCs w:val="24"/>
        </w:rPr>
        <w:t xml:space="preserve">ponúknutej </w:t>
      </w:r>
      <w:r w:rsidRPr="006C3F5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Pr="006C3F53">
        <w:rPr>
          <w:rFonts w:ascii="Times New Roman" w:hAnsi="Times New Roman"/>
          <w:sz w:val="24"/>
          <w:szCs w:val="24"/>
        </w:rPr>
        <w:t>, ktorí sa umiestnia na druhom a</w:t>
      </w:r>
      <w:r>
        <w:rPr>
          <w:rFonts w:ascii="Times New Roman" w:hAnsi="Times New Roman"/>
          <w:sz w:val="24"/>
          <w:szCs w:val="24"/>
        </w:rPr>
        <w:t> ďalších miestach v poradí, sú</w:t>
      </w:r>
      <w:r w:rsidRPr="006C3F53">
        <w:rPr>
          <w:rFonts w:ascii="Times New Roman" w:hAnsi="Times New Roman"/>
          <w:sz w:val="24"/>
          <w:szCs w:val="24"/>
        </w:rPr>
        <w:t xml:space="preserve"> vyhodno</w:t>
      </w:r>
      <w:r>
        <w:rPr>
          <w:rFonts w:ascii="Times New Roman" w:hAnsi="Times New Roman"/>
          <w:sz w:val="24"/>
          <w:szCs w:val="24"/>
        </w:rPr>
        <w:t xml:space="preserve">tení ako neúspešní uchádzači. V prípade, že ponuku </w:t>
      </w:r>
      <w:r w:rsidRPr="006C3F53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>loží iba jeden uchádzač, porovnávanie ponúknutých</w:t>
      </w:r>
      <w:r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 xml:space="preserve">ia realizované a obstarávateľ (odborný útvar obstarávateľa, t.j. predkladateľ požiadavky na obstaranie predmetu zákazky) posúdi (napr. v porovnaní s cenami dostupnými na trhu alebo s cenami, ktoré sú uvedené v uzavretých zmluvách, ktoré sú k dispozícií z verejne prístupných zdrojov </w:t>
      </w:r>
      <w:r>
        <w:rPr>
          <w:rFonts w:ascii="Times New Roman" w:hAnsi="Times New Roman"/>
          <w:sz w:val="24"/>
          <w:szCs w:val="24"/>
        </w:rPr>
        <w:lastRenderedPageBreak/>
        <w:t>a pod.), či ponuku</w:t>
      </w:r>
      <w:r w:rsidRPr="006C3F53">
        <w:rPr>
          <w:rFonts w:ascii="Times New Roman" w:hAnsi="Times New Roman"/>
          <w:sz w:val="24"/>
          <w:szCs w:val="24"/>
        </w:rPr>
        <w:t xml:space="preserve"> takéhoto </w:t>
      </w:r>
      <w:r>
        <w:rPr>
          <w:rFonts w:ascii="Times New Roman" w:hAnsi="Times New Roman"/>
          <w:sz w:val="24"/>
          <w:szCs w:val="24"/>
        </w:rPr>
        <w:t>uchádzača</w:t>
      </w:r>
      <w:r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 možnosť zrušenia postupu zadávania zákazky</w:t>
      </w:r>
      <w:r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 práva v tejto Výzve</w:t>
      </w:r>
      <w:r w:rsidRPr="006C3F53">
        <w:rPr>
          <w:rFonts w:ascii="Times New Roman" w:hAnsi="Times New Roman"/>
          <w:sz w:val="24"/>
          <w:szCs w:val="24"/>
        </w:rPr>
        <w:t>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Pr="007640B7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bezodkladne, najneskôr však do </w:t>
      </w:r>
      <w:r w:rsidR="00FD5D4A" w:rsidRPr="00FD5D4A">
        <w:rPr>
          <w:rFonts w:ascii="Times New Roman" w:hAnsi="Times New Roman"/>
          <w:bCs/>
          <w:sz w:val="24"/>
          <w:szCs w:val="24"/>
          <w:lang w:eastAsia="sk-SK"/>
        </w:rPr>
        <w:t>23</w:t>
      </w:r>
      <w:r w:rsidR="00513EEE" w:rsidRPr="00FD5D4A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Pr="00FD5D4A">
        <w:rPr>
          <w:rFonts w:ascii="Times New Roman" w:hAnsi="Times New Roman"/>
          <w:bCs/>
          <w:sz w:val="24"/>
          <w:szCs w:val="24"/>
          <w:lang w:eastAsia="sk-SK"/>
        </w:rPr>
        <w:t>.2021 (vrátane tohto dňa) po vyhodnotení ponúk oznámi informáciu o výsledku vyhodnotenia ponúk ka</w:t>
      </w:r>
      <w:r>
        <w:rPr>
          <w:rFonts w:ascii="Times New Roman" w:hAnsi="Times New Roman"/>
          <w:bCs/>
          <w:sz w:val="24"/>
          <w:szCs w:val="24"/>
          <w:lang w:eastAsia="sk-SK"/>
        </w:rPr>
        <w:t>ždému uchádzačovi, ktorý predložil ponuku a informáciu o výsledku vyhodnotenia ponúk zverejní na svojom webovom sídle pri konkrétnej zákazke. Ak si to situácia v priebehu vyhodnocovania ponúk vyžiada, obstarávateľ si vyhradzuje právo v priebehu vyhodnocovania ponúk určiť novú lehotu na oznámenie informácie o výsledku vyhodnotenia ponúk a to aj opakovane. Zmena tejto lehoty bude vždy písomne oznámená všetkým uchádzačom a zverejnená bude na webovom sídle obstarávateľa pri konkrétnej zákazke. Obstarávateľ zdokumentuje priebeh verejného obstarávania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</w:t>
      </w:r>
      <w:r w:rsidR="00C41FB7">
        <w:rPr>
          <w:rFonts w:ascii="Times New Roman" w:hAnsi="Times New Roman"/>
          <w:sz w:val="24"/>
          <w:szCs w:val="24"/>
        </w:rPr>
        <w:t>ná napr. v návrhu Rámcovej dohody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zákazky a jeho technická špecifikácia</w:t>
      </w:r>
    </w:p>
    <w:p w:rsidR="00933C89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  <w:r w:rsidR="009C527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(Cenník)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0447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Príloha č. 4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Pr="00DA3D81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FD5D4A">
        <w:rPr>
          <w:rFonts w:ascii="Times New Roman" w:hAnsi="Times New Roman"/>
          <w:b/>
          <w:sz w:val="24"/>
          <w:szCs w:val="24"/>
        </w:rPr>
        <w:t xml:space="preserve">V Žiline, </w:t>
      </w:r>
      <w:r w:rsidR="00FD5D4A" w:rsidRPr="00FD5D4A">
        <w:rPr>
          <w:rFonts w:ascii="Times New Roman" w:hAnsi="Times New Roman"/>
          <w:b/>
          <w:sz w:val="24"/>
          <w:szCs w:val="24"/>
        </w:rPr>
        <w:t>25</w:t>
      </w:r>
      <w:r w:rsidR="00F75617" w:rsidRPr="00FD5D4A">
        <w:rPr>
          <w:rFonts w:ascii="Times New Roman" w:hAnsi="Times New Roman"/>
          <w:b/>
          <w:sz w:val="24"/>
          <w:szCs w:val="24"/>
        </w:rPr>
        <w:t>.</w:t>
      </w:r>
      <w:r w:rsidR="00513EEE" w:rsidRPr="00FD5D4A">
        <w:rPr>
          <w:rFonts w:ascii="Times New Roman" w:hAnsi="Times New Roman"/>
          <w:b/>
          <w:sz w:val="24"/>
          <w:szCs w:val="24"/>
        </w:rPr>
        <w:t>06</w:t>
      </w:r>
      <w:r w:rsidR="00BD7D62" w:rsidRPr="00FD5D4A">
        <w:rPr>
          <w:rFonts w:ascii="Times New Roman" w:hAnsi="Times New Roman"/>
          <w:b/>
          <w:sz w:val="24"/>
          <w:szCs w:val="24"/>
        </w:rPr>
        <w:t>.</w:t>
      </w:r>
      <w:r w:rsidR="00F75617" w:rsidRPr="00FD5D4A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70" w:rsidRDefault="008B4C70">
      <w:r>
        <w:separator/>
      </w:r>
    </w:p>
  </w:endnote>
  <w:endnote w:type="continuationSeparator" w:id="0">
    <w:p w:rsidR="008B4C70" w:rsidRDefault="008B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FD5D4A">
      <w:rPr>
        <w:rStyle w:val="slostrany"/>
        <w:rFonts w:ascii="Times New Roman" w:hAnsi="Times New Roman"/>
        <w:noProof/>
        <w:sz w:val="24"/>
        <w:szCs w:val="24"/>
      </w:rPr>
      <w:t>6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70" w:rsidRDefault="008B4C70">
      <w:r>
        <w:separator/>
      </w:r>
    </w:p>
  </w:footnote>
  <w:footnote w:type="continuationSeparator" w:id="0">
    <w:p w:rsidR="008B4C70" w:rsidRDefault="008B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F419F8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„Elektroinštalačný materiál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12F6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D9"/>
    <w:rsid w:val="000965ED"/>
    <w:rsid w:val="000A1FC8"/>
    <w:rsid w:val="000A36CB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5ED6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47F6D"/>
    <w:rsid w:val="00156F2C"/>
    <w:rsid w:val="00162454"/>
    <w:rsid w:val="0016279C"/>
    <w:rsid w:val="00163A63"/>
    <w:rsid w:val="00164250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092E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9782F"/>
    <w:rsid w:val="002A0FF9"/>
    <w:rsid w:val="002A3016"/>
    <w:rsid w:val="002A364E"/>
    <w:rsid w:val="002A5A6C"/>
    <w:rsid w:val="002A6315"/>
    <w:rsid w:val="002A66C7"/>
    <w:rsid w:val="002A7426"/>
    <w:rsid w:val="002B11E4"/>
    <w:rsid w:val="002B25AD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57E4A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851B9"/>
    <w:rsid w:val="0049215D"/>
    <w:rsid w:val="00493DA7"/>
    <w:rsid w:val="00495132"/>
    <w:rsid w:val="00495DB9"/>
    <w:rsid w:val="004978B5"/>
    <w:rsid w:val="00497B27"/>
    <w:rsid w:val="004A0626"/>
    <w:rsid w:val="004A096B"/>
    <w:rsid w:val="004A4471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EEE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301"/>
    <w:rsid w:val="00653F97"/>
    <w:rsid w:val="006542B7"/>
    <w:rsid w:val="00655B7E"/>
    <w:rsid w:val="00661776"/>
    <w:rsid w:val="00662041"/>
    <w:rsid w:val="00664DAA"/>
    <w:rsid w:val="006678F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26561"/>
    <w:rsid w:val="0072679D"/>
    <w:rsid w:val="00730D29"/>
    <w:rsid w:val="007318B1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1F86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60B"/>
    <w:rsid w:val="007657E4"/>
    <w:rsid w:val="00767568"/>
    <w:rsid w:val="007760DF"/>
    <w:rsid w:val="007764D8"/>
    <w:rsid w:val="00785E22"/>
    <w:rsid w:val="00793C42"/>
    <w:rsid w:val="007958CA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385"/>
    <w:rsid w:val="0080058A"/>
    <w:rsid w:val="00801416"/>
    <w:rsid w:val="00803597"/>
    <w:rsid w:val="00803C89"/>
    <w:rsid w:val="008040A4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56B"/>
    <w:rsid w:val="008A5EF6"/>
    <w:rsid w:val="008A688E"/>
    <w:rsid w:val="008B0D77"/>
    <w:rsid w:val="008B2ED9"/>
    <w:rsid w:val="008B41AA"/>
    <w:rsid w:val="008B4C70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2734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24C1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4FA4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2D6B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27E8"/>
    <w:rsid w:val="00AE72F2"/>
    <w:rsid w:val="00AF564C"/>
    <w:rsid w:val="00AF5FAC"/>
    <w:rsid w:val="00AF681C"/>
    <w:rsid w:val="00AF7B3A"/>
    <w:rsid w:val="00B0079A"/>
    <w:rsid w:val="00B0093A"/>
    <w:rsid w:val="00B03072"/>
    <w:rsid w:val="00B03993"/>
    <w:rsid w:val="00B0450D"/>
    <w:rsid w:val="00B14A0F"/>
    <w:rsid w:val="00B17222"/>
    <w:rsid w:val="00B200C2"/>
    <w:rsid w:val="00B23D74"/>
    <w:rsid w:val="00B23FE0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0620"/>
    <w:rsid w:val="00B90966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5D00"/>
    <w:rsid w:val="00C27885"/>
    <w:rsid w:val="00C3007E"/>
    <w:rsid w:val="00C36A6C"/>
    <w:rsid w:val="00C37496"/>
    <w:rsid w:val="00C41C1E"/>
    <w:rsid w:val="00C41FB7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66FB4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97136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64A7B"/>
    <w:rsid w:val="00E6536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9F8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B15"/>
    <w:rsid w:val="00F75617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5D4A"/>
    <w:rsid w:val="00FD64EC"/>
    <w:rsid w:val="00FD70DF"/>
    <w:rsid w:val="00FD7B1F"/>
    <w:rsid w:val="00FE370F"/>
    <w:rsid w:val="00FE38AA"/>
    <w:rsid w:val="00FE3ECA"/>
    <w:rsid w:val="00FE40A6"/>
    <w:rsid w:val="00FF0881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522E-8FB1-4DC3-8038-32E5C7B5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4383</TotalTime>
  <Pages>9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482</cp:revision>
  <cp:lastPrinted>2019-03-06T07:29:00Z</cp:lastPrinted>
  <dcterms:created xsi:type="dcterms:W3CDTF">2014-02-05T10:15:00Z</dcterms:created>
  <dcterms:modified xsi:type="dcterms:W3CDTF">2021-06-25T10:26:00Z</dcterms:modified>
  <cp:category>PT</cp:category>
</cp:coreProperties>
</file>